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2">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3">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4">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5">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6">
      <w:pPr>
        <w:spacing w:after="0" w:before="0" w:line="276" w:lineRule="auto"/>
        <w:ind w:left="0" w:firstLine="0"/>
        <w:rPr>
          <w:rFonts w:ascii="Cuprum" w:cs="Cuprum" w:eastAsia="Cuprum" w:hAnsi="Cuprum"/>
          <w:b w:val="1"/>
          <w:bCs w:val="1"/>
          <w:sz w:val="36"/>
          <w:szCs w:val="36"/>
        </w:rPr>
      </w:pPr>
      <w:r w:rsidDel="00000000" w:rsidR="00000000" w:rsidRPr="00000000">
        <w:rPr>
          <w:rFonts w:ascii="Cuprum" w:cs="Cuprum" w:eastAsia="Cuprum" w:hAnsi="Cuprum"/>
          <w:b w:val="1"/>
          <w:bCs w:val="1"/>
          <w:sz w:val="36"/>
          <w:szCs w:val="36"/>
          <w:rtl w:val="0"/>
        </w:rPr>
        <w:t xml:space="preserve">TITLE</w:t>
      </w:r>
      <w:r w:rsidDel="00000000" w:rsidR="00000000" w:rsidRPr="00000000">
        <w:rPr>
          <w:rtl w:val="0"/>
        </w:rPr>
      </w:r>
    </w:p>
    <w:p w:rsidR="00000000" w:rsidDel="00000000" w:rsidP="00000000" w:rsidRDefault="00000000" w:rsidRPr="00000000" w14:paraId="00000007">
      <w:pPr>
        <w:spacing w:after="0" w:before="0" w:line="276" w:lineRule="auto"/>
        <w:ind w:left="0" w:firstLine="0"/>
        <w:rPr>
          <w:color w:val="666666"/>
          <w:sz w:val="22"/>
          <w:szCs w:val="22"/>
        </w:rPr>
      </w:pPr>
      <w:r w:rsidDel="00000000" w:rsidR="00000000" w:rsidRPr="00000000">
        <w:rPr>
          <w:color w:val="666666"/>
          <w:sz w:val="22"/>
          <w:szCs w:val="22"/>
          <w:rtl w:val="0"/>
        </w:rPr>
        <w:t xml:space="preserve">The title should be clear, concise, and academically meaningful. It should reflect the main argument, contribution, or focus of the paper rather than merely describing the topic. Authors are encouraged to use key concepts, theoretical perspectives, or specific contexts that highlight the significance of their study within Aisyiyah Studies and related fields. Titles may include a subtitle (separated by a colon) when additional clarification is needed. The maximum length is 50 words, with a preferred length of 10–16 words. Avoid vague, overly general, or excessively technical wording, and ensure that the title clearly communicates the paper’s scholarly contribution and relevance.</w:t>
      </w:r>
    </w:p>
    <w:p w:rsidR="00000000" w:rsidDel="00000000" w:rsidP="00000000" w:rsidRDefault="00000000" w:rsidRPr="00000000" w14:paraId="00000008">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9">
      <w:pPr>
        <w:pStyle w:val="Heading1"/>
        <w:rPr/>
      </w:pPr>
      <w:bookmarkStart w:colFirst="0" w:colLast="0" w:name="_a4ng6wrso72" w:id="0"/>
      <w:bookmarkEnd w:id="0"/>
      <w:r w:rsidDel="00000000" w:rsidR="00000000" w:rsidRPr="00000000">
        <w:rPr>
          <w:rtl w:val="0"/>
        </w:rPr>
        <w:t xml:space="preserve">Abstract</w:t>
      </w:r>
      <w:r w:rsidDel="00000000" w:rsidR="00000000" w:rsidRPr="00000000">
        <w:rPr>
          <w:rtl w:val="0"/>
        </w:rPr>
      </w:r>
    </w:p>
    <w:p w:rsidR="00000000" w:rsidDel="00000000" w:rsidP="00000000" w:rsidRDefault="00000000" w:rsidRPr="00000000" w14:paraId="0000000A">
      <w:pPr>
        <w:spacing w:after="0" w:before="0" w:line="276" w:lineRule="auto"/>
        <w:ind w:left="0" w:firstLine="0"/>
        <w:rPr>
          <w:color w:val="666666"/>
          <w:sz w:val="22"/>
          <w:szCs w:val="22"/>
        </w:rPr>
      </w:pPr>
      <w:r w:rsidDel="00000000" w:rsidR="00000000" w:rsidRPr="00000000">
        <w:rPr>
          <w:color w:val="666666"/>
          <w:sz w:val="22"/>
          <w:szCs w:val="22"/>
          <w:rtl w:val="0"/>
        </w:rPr>
        <w:t xml:space="preserve">The abstract is written in English and provides a concise yet comprehensive overview of the article. It establishes the context of the study, identifies the scholarly gap, and states the research question or objective. It briefly explains the methodological approach, summarizes the main findings, and clarifies the article’s contribution to broader academic discussions. The abstract is written as a single coherent paragraph without citations.</w:t>
      </w:r>
    </w:p>
    <w:p w:rsidR="00000000" w:rsidDel="00000000" w:rsidP="00000000" w:rsidRDefault="00000000" w:rsidRPr="00000000" w14:paraId="0000000B">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C">
      <w:pPr>
        <w:pStyle w:val="Heading1"/>
        <w:rPr/>
      </w:pPr>
      <w:bookmarkStart w:colFirst="0" w:colLast="0" w:name="_gvjdt66rwlh8" w:id="1"/>
      <w:bookmarkEnd w:id="1"/>
      <w:r w:rsidDel="00000000" w:rsidR="00000000" w:rsidRPr="00000000">
        <w:rPr>
          <w:rtl w:val="0"/>
        </w:rPr>
        <w:t xml:space="preserve">Keywords:</w:t>
      </w:r>
      <w:r w:rsidDel="00000000" w:rsidR="00000000" w:rsidRPr="00000000">
        <w:rPr>
          <w:rtl w:val="0"/>
        </w:rPr>
      </w:r>
    </w:p>
    <w:p w:rsidR="00000000" w:rsidDel="00000000" w:rsidP="00000000" w:rsidRDefault="00000000" w:rsidRPr="00000000" w14:paraId="0000000D">
      <w:pPr>
        <w:spacing w:after="0" w:before="0" w:line="276" w:lineRule="auto"/>
        <w:ind w:left="0" w:firstLine="0"/>
        <w:rPr>
          <w:color w:val="666666"/>
          <w:sz w:val="22"/>
          <w:szCs w:val="22"/>
        </w:rPr>
      </w:pPr>
      <w:r w:rsidDel="00000000" w:rsidR="00000000" w:rsidRPr="00000000">
        <w:rPr>
          <w:color w:val="666666"/>
          <w:sz w:val="22"/>
          <w:szCs w:val="22"/>
          <w:rtl w:val="0"/>
        </w:rPr>
        <w:t xml:space="preserve">A list of 4–6 keywords should follow the abstract to enhance discoverability, indexing, and thematic clarity. Keywords should accurately reflect the paper’s main concepts, theoretical approaches, and contextual focus, while positioning it within broader academic conversations relevant to Aisyiyah Studies and related interdisciplinary fields. Authors are encouraged to use specific and meaningful terms, combine conceptual and contextual keywords where appropriate, avoid unnecessary repetition of words from the title, and separate keywords with semicolons (;). </w:t>
      </w:r>
    </w:p>
    <w:p w:rsidR="00000000" w:rsidDel="00000000" w:rsidP="00000000" w:rsidRDefault="00000000" w:rsidRPr="00000000" w14:paraId="0000000E">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0F">
      <w:pPr>
        <w:pStyle w:val="Heading1"/>
        <w:rPr/>
      </w:pPr>
      <w:bookmarkStart w:colFirst="0" w:colLast="0" w:name="_syita42929wy"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0">
      <w:pPr>
        <w:spacing w:after="0" w:before="0" w:line="276" w:lineRule="auto"/>
        <w:ind w:left="0" w:firstLine="0"/>
        <w:rPr>
          <w:color w:val="666666"/>
          <w:sz w:val="22"/>
          <w:szCs w:val="22"/>
        </w:rPr>
      </w:pPr>
      <w:r w:rsidDel="00000000" w:rsidR="00000000" w:rsidRPr="00000000">
        <w:rPr>
          <w:color w:val="666666"/>
          <w:sz w:val="22"/>
          <w:szCs w:val="22"/>
          <w:rtl w:val="0"/>
        </w:rPr>
        <w:t xml:space="preserve">The introduction is crafted as a flowing narrative that situates the article within ongoing scholarly debates. It explains why the issue under discussion is significant, identifies limitations or gaps in existing literature, and articulates the research question guiding the study. The introduction also establishes the contextual setting, including the relevance of Aisyiyah as a social, intellectual, or institutional actor. It concludes by clarifying the contribution of the article, whether theoretical, empirical, methodological, or conceptual. The tone remains analytical and academically rigorous rather than promotional.</w:t>
      </w:r>
    </w:p>
    <w:p w:rsidR="00000000" w:rsidDel="00000000" w:rsidP="00000000" w:rsidRDefault="00000000" w:rsidRPr="00000000" w14:paraId="00000011">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2">
      <w:pPr>
        <w:pStyle w:val="Heading1"/>
        <w:rPr/>
      </w:pPr>
      <w:bookmarkStart w:colFirst="0" w:colLast="0" w:name="_rbooeuhfkes8" w:id="3"/>
      <w:bookmarkEnd w:id="3"/>
      <w:r w:rsidDel="00000000" w:rsidR="00000000" w:rsidRPr="00000000">
        <w:rPr>
          <w:rtl w:val="0"/>
        </w:rPr>
        <w:t xml:space="preserve">Theoretical and Conceptual Framework</w:t>
      </w:r>
      <w:r w:rsidDel="00000000" w:rsidR="00000000" w:rsidRPr="00000000">
        <w:rPr>
          <w:rtl w:val="0"/>
        </w:rPr>
      </w:r>
    </w:p>
    <w:p w:rsidR="00000000" w:rsidDel="00000000" w:rsidP="00000000" w:rsidRDefault="00000000" w:rsidRPr="00000000" w14:paraId="00000013">
      <w:pPr>
        <w:spacing w:after="0" w:before="0" w:line="276" w:lineRule="auto"/>
        <w:ind w:left="0" w:firstLine="0"/>
        <w:rPr>
          <w:color w:val="666666"/>
          <w:sz w:val="22"/>
          <w:szCs w:val="22"/>
        </w:rPr>
      </w:pPr>
      <w:r w:rsidDel="00000000" w:rsidR="00000000" w:rsidRPr="00000000">
        <w:rPr>
          <w:color w:val="666666"/>
          <w:sz w:val="22"/>
          <w:szCs w:val="22"/>
          <w:rtl w:val="0"/>
        </w:rPr>
        <w:t xml:space="preserve">This section outlines the analytical perspective that informs the study and defines the key concepts used throughout the article. Authors are encouraged to engage critically with contemporary scholarship and, when relevant, to place social theory in dialogue with Islamic intellectual traditions. The framework should clearly demonstrate how the chosen concepts guide interpretation and analysis. The writing should remain analytical and reflective, avoiding normative or sermon-like language while acknowledging the intellectual richness of Islamic epistemologies.</w:t>
      </w:r>
    </w:p>
    <w:p w:rsidR="00000000" w:rsidDel="00000000" w:rsidP="00000000" w:rsidRDefault="00000000" w:rsidRPr="00000000" w14:paraId="00000014">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5">
      <w:pPr>
        <w:pStyle w:val="Heading1"/>
        <w:rPr/>
      </w:pPr>
      <w:bookmarkStart w:colFirst="0" w:colLast="0" w:name="_vwbs7apgnnpx" w:id="4"/>
      <w:bookmarkEnd w:id="4"/>
      <w:r w:rsidDel="00000000" w:rsidR="00000000" w:rsidRPr="00000000">
        <w:rPr>
          <w:rtl w:val="0"/>
        </w:rPr>
        <w:t xml:space="preserve">Method(s)</w:t>
      </w:r>
      <w:r w:rsidDel="00000000" w:rsidR="00000000" w:rsidRPr="00000000">
        <w:rPr>
          <w:rtl w:val="0"/>
        </w:rPr>
      </w:r>
    </w:p>
    <w:p w:rsidR="00000000" w:rsidDel="00000000" w:rsidP="00000000" w:rsidRDefault="00000000" w:rsidRPr="00000000" w14:paraId="00000016">
      <w:pPr>
        <w:spacing w:after="0" w:before="0" w:line="276" w:lineRule="auto"/>
        <w:ind w:left="0" w:firstLine="0"/>
        <w:rPr>
          <w:color w:val="666666"/>
          <w:sz w:val="22"/>
          <w:szCs w:val="22"/>
        </w:rPr>
      </w:pPr>
      <w:r w:rsidDel="00000000" w:rsidR="00000000" w:rsidRPr="00000000">
        <w:rPr>
          <w:color w:val="666666"/>
          <w:sz w:val="22"/>
          <w:szCs w:val="22"/>
          <w:rtl w:val="0"/>
        </w:rPr>
        <w:t xml:space="preserve">The methodology section provides a transparent account of how the research was conducted. It explains the research design, the nature and sources of data, and the procedures used for data collection and analysis. If applicable, it may also discuss ethical considerations and researcher positionality. The explanation should be detailed enough for readers to understand how conclusions are derived and how evidence supports the argument. Methodological rigor and clarity are central to the journal’s academic standards.</w:t>
      </w:r>
    </w:p>
    <w:p w:rsidR="00000000" w:rsidDel="00000000" w:rsidP="00000000" w:rsidRDefault="00000000" w:rsidRPr="00000000" w14:paraId="00000017">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8">
      <w:pPr>
        <w:pStyle w:val="Heading1"/>
        <w:rPr/>
      </w:pPr>
      <w:bookmarkStart w:colFirst="0" w:colLast="0" w:name="_pdqbjk833c8e" w:id="5"/>
      <w:bookmarkEnd w:id="5"/>
      <w:r w:rsidDel="00000000" w:rsidR="00000000" w:rsidRPr="00000000">
        <w:rPr>
          <w:rtl w:val="0"/>
        </w:rPr>
        <w:t xml:space="preserve">Findings</w:t>
      </w:r>
      <w:r w:rsidDel="00000000" w:rsidR="00000000" w:rsidRPr="00000000">
        <w:rPr>
          <w:rtl w:val="0"/>
        </w:rPr>
      </w:r>
    </w:p>
    <w:p w:rsidR="00000000" w:rsidDel="00000000" w:rsidP="00000000" w:rsidRDefault="00000000" w:rsidRPr="00000000" w14:paraId="00000019">
      <w:pPr>
        <w:spacing w:after="0" w:before="0" w:line="276" w:lineRule="auto"/>
        <w:ind w:left="0" w:firstLine="0"/>
        <w:rPr>
          <w:color w:val="666666"/>
          <w:sz w:val="22"/>
          <w:szCs w:val="22"/>
        </w:rPr>
      </w:pPr>
      <w:r w:rsidDel="00000000" w:rsidR="00000000" w:rsidRPr="00000000">
        <w:rPr>
          <w:color w:val="666666"/>
          <w:sz w:val="22"/>
          <w:szCs w:val="22"/>
          <w:rtl w:val="0"/>
        </w:rPr>
        <w:t xml:space="preserve">The findings section presents the main results of the study in a structured and coherent manner. Claims must be grounded in evidence, whether empirical data, textual analysis, archival material, or conceptual reasoning. Subheadings may be used to organize themes, but the section should maintain narrative flow. The focus here is on presenting what the research reveals before moving to broader interpretation. The writing should be clear, systematic, and analytically grounded.</w:t>
      </w:r>
    </w:p>
    <w:p w:rsidR="00000000" w:rsidDel="00000000" w:rsidP="00000000" w:rsidRDefault="00000000" w:rsidRPr="00000000" w14:paraId="0000001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B">
      <w:pPr>
        <w:pStyle w:val="Heading1"/>
        <w:rPr/>
      </w:pPr>
      <w:bookmarkStart w:colFirst="0" w:colLast="0" w:name="_iw0x6srk9lky" w:id="6"/>
      <w:bookmarkEnd w:id="6"/>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01C">
      <w:pPr>
        <w:spacing w:after="0" w:before="0" w:line="276" w:lineRule="auto"/>
        <w:ind w:left="0" w:firstLine="0"/>
        <w:rPr>
          <w:color w:val="666666"/>
          <w:sz w:val="22"/>
          <w:szCs w:val="22"/>
        </w:rPr>
      </w:pPr>
      <w:r w:rsidDel="00000000" w:rsidR="00000000" w:rsidRPr="00000000">
        <w:rPr>
          <w:color w:val="666666"/>
          <w:sz w:val="22"/>
          <w:szCs w:val="22"/>
          <w:rtl w:val="0"/>
        </w:rPr>
        <w:t xml:space="preserve">The discussion interprets the findings in relation to the theoretical framework and broader scholarly conversations. It explains the significance of the results and clarifies how they refine, challenge, or extend existing knowledge. A distinctive element of the Journal of Aisyiyah Studies is the articulation of an Aisyiyah perspective in an academic sense. This involves analyzing Aisyiyah as an epistemic and social actor, examining institutional reasoning and transformation as forms of evolving ijtihad, and situating the organization within broader discourses on Muslim women’s agency, leadership, and social reform. The discussion should remain critical and constructive, avoiding both uncritical celebration and reductive critique.</w:t>
      </w:r>
    </w:p>
    <w:p w:rsidR="00000000" w:rsidDel="00000000" w:rsidP="00000000" w:rsidRDefault="00000000" w:rsidRPr="00000000" w14:paraId="0000001D">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E">
      <w:pPr>
        <w:pStyle w:val="Heading1"/>
        <w:rPr/>
      </w:pPr>
      <w:bookmarkStart w:colFirst="0" w:colLast="0" w:name="_qz4864wssvbg" w:id="7"/>
      <w:bookmarkEnd w:id="7"/>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1F">
      <w:pPr>
        <w:spacing w:after="0" w:before="0" w:line="276" w:lineRule="auto"/>
        <w:ind w:left="0" w:firstLine="0"/>
        <w:rPr>
          <w:color w:val="666666"/>
          <w:sz w:val="22"/>
          <w:szCs w:val="22"/>
        </w:rPr>
      </w:pPr>
      <w:r w:rsidDel="00000000" w:rsidR="00000000" w:rsidRPr="00000000">
        <w:rPr>
          <w:color w:val="666666"/>
          <w:sz w:val="22"/>
          <w:szCs w:val="22"/>
          <w:rtl w:val="0"/>
        </w:rPr>
        <w:t xml:space="preserve">The conclusion returns to the research question and synthesizes the main insights of the article. It highlights the scholarly contribution and clarifies its broader implications for Aisyiyah studies and related academic fields. Rather than repeating earlier sections, the conclusion offers a reflective synthesis and may indicate directions for future research.</w:t>
      </w:r>
    </w:p>
    <w:p w:rsidR="00000000" w:rsidDel="00000000" w:rsidP="00000000" w:rsidRDefault="00000000" w:rsidRPr="00000000" w14:paraId="00000020">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21">
      <w:pPr>
        <w:pStyle w:val="Heading1"/>
        <w:rPr/>
      </w:pPr>
      <w:bookmarkStart w:colFirst="0" w:colLast="0" w:name="_126n2q5igdye" w:id="8"/>
      <w:bookmarkEnd w:id="8"/>
      <w:r w:rsidDel="00000000" w:rsidR="00000000" w:rsidRPr="00000000">
        <w:rPr>
          <w:rtl w:val="0"/>
        </w:rPr>
        <w:t xml:space="preserve">Bibliography</w:t>
      </w:r>
      <w:r w:rsidDel="00000000" w:rsidR="00000000" w:rsidRPr="00000000">
        <w:rPr>
          <w:rtl w:val="0"/>
        </w:rPr>
      </w:r>
    </w:p>
    <w:p w:rsidR="00000000" w:rsidDel="00000000" w:rsidP="00000000" w:rsidRDefault="00000000" w:rsidRPr="00000000" w14:paraId="00000022">
      <w:pPr>
        <w:spacing w:after="0" w:before="0" w:line="276" w:lineRule="auto"/>
        <w:ind w:left="0" w:firstLine="0"/>
        <w:rPr>
          <w:color w:val="666666"/>
          <w:sz w:val="22"/>
          <w:szCs w:val="22"/>
        </w:rPr>
      </w:pPr>
      <w:r w:rsidDel="00000000" w:rsidR="00000000" w:rsidRPr="00000000">
        <w:rPr>
          <w:color w:val="666666"/>
          <w:sz w:val="22"/>
          <w:szCs w:val="22"/>
          <w:rtl w:val="0"/>
        </w:rPr>
        <w:t xml:space="preserve">The bibliography follows APA 7th edition citation style. It should reflect engagement with relevant and high-quality scholarship, including peer-reviewed journal articles and significant theoretical works. References should demonstrate awareness of both global academic debates and scholarship related to Indonesian and Muslim contexts. DOI information should be included where available. The reference list serves as an intellectual map of the article’s scholarly grounding and should be carefully curated and accurately formatted.</w:t>
      </w:r>
    </w:p>
    <w:p w:rsidR="00000000" w:rsidDel="00000000" w:rsidP="00000000" w:rsidRDefault="00000000" w:rsidRPr="00000000" w14:paraId="00000023">
      <w:pPr>
        <w:spacing w:after="0" w:before="0" w:line="276" w:lineRule="auto"/>
        <w:ind w:left="0" w:firstLine="0"/>
        <w:rPr>
          <w:sz w:val="22"/>
          <w:szCs w:val="22"/>
        </w:rPr>
      </w:pPr>
      <w:r w:rsidDel="00000000" w:rsidR="00000000" w:rsidRPr="00000000">
        <w:rPr>
          <w:rtl w:val="0"/>
        </w:rPr>
      </w:r>
    </w:p>
    <w:sectPr>
      <w:headerReference r:id="rId6" w:type="default"/>
      <w:footerReference r:id="rId7" w:type="default"/>
      <w:pgSz w:h="16838" w:w="11906" w:orient="portrait"/>
      <w:pgMar w:bottom="1700.7874015748032" w:top="1700.7874015748032"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upr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abin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Open Sans">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0" w:right="-976.062992125984" w:firstLine="0"/>
      <w:rPr>
        <w:rFonts w:ascii="Cabin Medium" w:cs="Cabin Medium" w:eastAsia="Cabin Medium" w:hAnsi="Cabin Medium"/>
        <w:color w:val="999999"/>
        <w:sz w:val="18"/>
        <w:szCs w:val="18"/>
      </w:rPr>
    </w:pPr>
    <w:r w:rsidDel="00000000" w:rsidR="00000000" w:rsidRPr="00000000">
      <w:rPr>
        <w:rFonts w:ascii="Cabin Medium" w:cs="Cabin Medium" w:eastAsia="Cabin Medium" w:hAnsi="Cabin Medium"/>
        <w:color w:val="999999"/>
        <w:sz w:val="18"/>
        <w:szCs w:val="18"/>
        <w:rtl w:val="0"/>
      </w:rPr>
      <w:t xml:space="preserve">Main Manuscript - Journal of Aisyiyah Studies</w:t>
    </w:r>
    <w:r w:rsidDel="00000000" w:rsidR="00000000" w:rsidRPr="00000000">
      <w:rPr>
        <w:rFonts w:ascii="Cabin Medium" w:cs="Cabin Medium" w:eastAsia="Cabin Medium" w:hAnsi="Cabin Medium"/>
        <w:color w:val="999999"/>
        <w:sz w:val="18"/>
        <w:szCs w:val="18"/>
        <w:rtl w:val="0"/>
      </w:rPr>
      <w:tab/>
      <w:tab/>
      <w:tab/>
      <w:tab/>
      <w:tab/>
      <w:tab/>
      <w:tab/>
      <w:tab/>
    </w:r>
    <w:r w:rsidDel="00000000" w:rsidR="00000000" w:rsidRPr="00000000">
      <w:rPr>
        <w:rFonts w:ascii="Cabin Medium" w:cs="Cabin Medium" w:eastAsia="Cabin Medium" w:hAnsi="Cabin Medium"/>
        <w:color w:val="99999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rFonts w:ascii="Cabin Medium" w:cs="Cabin Medium" w:eastAsia="Cabin Medium" w:hAnsi="Cabin Medium"/>
        <w:color w:val="ff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30"/>
        <w:szCs w:val="30"/>
        <w:lang w:val="in"/>
      </w:rPr>
    </w:rPrDefault>
    <w:pPrDefault>
      <w:pPr>
        <w:shd w:fill="ffffff" w:val="clea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bin SemiBold" w:cs="Cabin SemiBold" w:eastAsia="Cabin SemiBold" w:hAnsi="Cabin SemiBold"/>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CabinMedium-italic.ttf"/><Relationship Id="rId10" Type="http://schemas.openxmlformats.org/officeDocument/2006/relationships/font" Target="fonts/CabinMedium-bold.ttf"/><Relationship Id="rId13" Type="http://schemas.openxmlformats.org/officeDocument/2006/relationships/font" Target="fonts/OpenSans-regular.ttf"/><Relationship Id="rId12" Type="http://schemas.openxmlformats.org/officeDocument/2006/relationships/font" Target="fonts/CabinMedium-boldItalic.ttf"/><Relationship Id="rId1" Type="http://schemas.openxmlformats.org/officeDocument/2006/relationships/font" Target="fonts/CabinSemiBold-regular.ttf"/><Relationship Id="rId2" Type="http://schemas.openxmlformats.org/officeDocument/2006/relationships/font" Target="fonts/CabinSemiBold-bold.ttf"/><Relationship Id="rId3" Type="http://schemas.openxmlformats.org/officeDocument/2006/relationships/font" Target="fonts/CabinSemiBold-italic.ttf"/><Relationship Id="rId4" Type="http://schemas.openxmlformats.org/officeDocument/2006/relationships/font" Target="fonts/CabinSemiBold-boldItalic.ttf"/><Relationship Id="rId9" Type="http://schemas.openxmlformats.org/officeDocument/2006/relationships/font" Target="fonts/CabinMedium-regular.ttf"/><Relationship Id="rId15" Type="http://schemas.openxmlformats.org/officeDocument/2006/relationships/font" Target="fonts/OpenSans-italic.ttf"/><Relationship Id="rId14" Type="http://schemas.openxmlformats.org/officeDocument/2006/relationships/font" Target="fonts/OpenSans-bold.ttf"/><Relationship Id="rId16" Type="http://schemas.openxmlformats.org/officeDocument/2006/relationships/font" Target="fonts/OpenSans-boldItalic.ttf"/><Relationship Id="rId5" Type="http://schemas.openxmlformats.org/officeDocument/2006/relationships/font" Target="fonts/Cuprum-regular.ttf"/><Relationship Id="rId6" Type="http://schemas.openxmlformats.org/officeDocument/2006/relationships/font" Target="fonts/Cuprum-bold.ttf"/><Relationship Id="rId7" Type="http://schemas.openxmlformats.org/officeDocument/2006/relationships/font" Target="fonts/Cuprum-italic.ttf"/><Relationship Id="rId8" Type="http://schemas.openxmlformats.org/officeDocument/2006/relationships/font" Target="fonts/Cupr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