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after="0" w:lineRule="auto"/>
        <w:rPr/>
      </w:pPr>
      <w:bookmarkStart w:colFirst="0" w:colLast="0" w:name="_w6q3ne2epa09" w:id="0"/>
      <w:bookmarkEnd w:id="0"/>
      <w:commentRangeStart w:id="0"/>
      <w:r w:rsidDel="00000000" w:rsidR="00000000" w:rsidRPr="00000000">
        <w:rPr>
          <w:rtl w:val="0"/>
        </w:rPr>
        <w:t xml:space="preserve">Title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keepNext w:val="0"/>
        <w:keepLines w:val="0"/>
        <w:spacing w:after="0" w:before="0" w:lineRule="auto"/>
        <w:rPr>
          <w:color w:val="000000"/>
          <w:sz w:val="18"/>
          <w:szCs w:val="18"/>
        </w:rPr>
      </w:pPr>
      <w:commentRangeStart w:id="1"/>
      <w:r w:rsidDel="00000000" w:rsidR="00000000" w:rsidRPr="00000000">
        <w:rPr>
          <w:color w:val="000000"/>
          <w:sz w:val="18"/>
          <w:szCs w:val="18"/>
          <w:rtl w:val="0"/>
        </w:rPr>
        <w:t xml:space="preserve">Author(s)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3">
      <w:pPr>
        <w:keepNext w:val="0"/>
        <w:keepLines w:val="0"/>
        <w:spacing w:after="0" w:before="0" w:lineRule="auto"/>
        <w:rPr/>
      </w:pPr>
      <w:r w:rsidDel="00000000" w:rsidR="00000000" w:rsidRPr="00000000">
        <w:rPr>
          <w:rtl w:val="0"/>
        </w:rPr>
      </w:r>
    </w:p>
    <w:p w:rsidR="00000000" w:rsidDel="00000000" w:rsidP="00000000" w:rsidRDefault="00000000" w:rsidRPr="00000000" w14:paraId="00000004">
      <w:pPr>
        <w:pStyle w:val="Heading1"/>
        <w:spacing w:after="0" w:lineRule="auto"/>
        <w:rPr/>
      </w:pPr>
      <w:bookmarkStart w:colFirst="0" w:colLast="0" w:name="_oc3kfaob0vhi" w:id="1"/>
      <w:bookmarkEnd w:id="1"/>
      <w:commentRangeStart w:id="2"/>
      <w:r w:rsidDel="00000000" w:rsidR="00000000" w:rsidRPr="00000000">
        <w:rPr>
          <w:rtl w:val="0"/>
        </w:rPr>
        <w:t xml:space="preserve">Abstract</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tl w:val="0"/>
        </w:rPr>
      </w:r>
    </w:p>
    <w:p w:rsidR="00000000" w:rsidDel="00000000" w:rsidP="00000000" w:rsidRDefault="00000000" w:rsidRPr="00000000" w14:paraId="00000006">
      <w:pPr>
        <w:spacing w:after="0" w:lineRule="auto"/>
        <w:rPr>
          <w:sz w:val="18"/>
          <w:szCs w:val="18"/>
        </w:rPr>
      </w:pPr>
      <w:commentRangeStart w:id="3"/>
      <w:r w:rsidDel="00000000" w:rsidR="00000000" w:rsidRPr="00000000">
        <w:rPr>
          <w:sz w:val="18"/>
          <w:szCs w:val="18"/>
          <w:rtl w:val="0"/>
        </w:rPr>
        <w:t xml:space="preserve">Keywords:</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pStyle w:val="Heading1"/>
        <w:spacing w:after="0" w:lineRule="auto"/>
        <w:rPr/>
      </w:pPr>
      <w:bookmarkStart w:colFirst="0" w:colLast="0" w:name="_uvqz8wj64yvy" w:id="2"/>
      <w:bookmarkEnd w:id="2"/>
      <w:commentRangeStart w:id="4"/>
      <w:r w:rsidDel="00000000" w:rsidR="00000000" w:rsidRPr="00000000">
        <w:rPr>
          <w:rtl w:val="0"/>
        </w:rPr>
        <w:t xml:space="preserve">Introduction</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keepNext w:val="0"/>
        <w:keepLines w:val="0"/>
        <w:spacing w:after="0" w:before="0" w:lineRule="auto"/>
        <w:rPr>
          <w:b w:val="1"/>
          <w:bCs w:val="1"/>
        </w:rPr>
      </w:pPr>
      <w:commentRangeStart w:id="5"/>
      <w:r w:rsidDel="00000000" w:rsidR="00000000" w:rsidRPr="00000000">
        <w:rPr>
          <w:b w:val="1"/>
          <w:bCs w:val="1"/>
          <w:rtl w:val="0"/>
        </w:rPr>
        <w:t xml:space="preserve">Theoretical and Conceptual Framework</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pStyle w:val="Heading1"/>
        <w:spacing w:after="0" w:lineRule="auto"/>
        <w:rPr/>
      </w:pPr>
      <w:bookmarkStart w:colFirst="0" w:colLast="0" w:name="_8i0gu7rjb6ux" w:id="3"/>
      <w:bookmarkEnd w:id="3"/>
      <w:commentRangeStart w:id="6"/>
      <w:r w:rsidDel="00000000" w:rsidR="00000000" w:rsidRPr="00000000">
        <w:rPr>
          <w:rtl w:val="0"/>
        </w:rPr>
        <w:t xml:space="preserve">Method(s)</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pStyle w:val="Heading1"/>
        <w:rPr/>
      </w:pPr>
      <w:bookmarkStart w:colFirst="0" w:colLast="0" w:name="_8ixru7k1ujnr" w:id="4"/>
      <w:bookmarkEnd w:id="4"/>
      <w:commentRangeStart w:id="7"/>
      <w:r w:rsidDel="00000000" w:rsidR="00000000" w:rsidRPr="00000000">
        <w:rPr>
          <w:rtl w:val="0"/>
        </w:rPr>
        <w:t xml:space="preserve">Findings</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tl w:val="0"/>
        </w:rPr>
      </w:r>
    </w:p>
    <w:p w:rsidR="00000000" w:rsidDel="00000000" w:rsidP="00000000" w:rsidRDefault="00000000" w:rsidRPr="00000000" w14:paraId="00000015">
      <w:pPr>
        <w:pStyle w:val="Heading1"/>
        <w:rPr/>
      </w:pPr>
      <w:bookmarkStart w:colFirst="0" w:colLast="0" w:name="_equriv64kdo9" w:id="5"/>
      <w:bookmarkEnd w:id="5"/>
      <w:commentRangeStart w:id="8"/>
      <w:r w:rsidDel="00000000" w:rsidR="00000000" w:rsidRPr="00000000">
        <w:rPr>
          <w:rtl w:val="0"/>
        </w:rPr>
        <w:t xml:space="preserve">Discussion</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tl w:val="0"/>
        </w:rPr>
      </w:r>
    </w:p>
    <w:p w:rsidR="00000000" w:rsidDel="00000000" w:rsidP="00000000" w:rsidRDefault="00000000" w:rsidRPr="00000000" w14:paraId="00000018">
      <w:pPr>
        <w:pStyle w:val="Heading1"/>
        <w:rPr/>
      </w:pPr>
      <w:bookmarkStart w:colFirst="0" w:colLast="0" w:name="_trptlwb9iv5a" w:id="6"/>
      <w:bookmarkEnd w:id="6"/>
      <w:commentRangeStart w:id="9"/>
      <w:r w:rsidDel="00000000" w:rsidR="00000000" w:rsidRPr="00000000">
        <w:rPr>
          <w:rtl w:val="0"/>
        </w:rPr>
        <w:t xml:space="preserve">Conclusion</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tl w:val="0"/>
        </w:rPr>
      </w:r>
    </w:p>
    <w:p w:rsidR="00000000" w:rsidDel="00000000" w:rsidP="00000000" w:rsidRDefault="00000000" w:rsidRPr="00000000" w14:paraId="0000001B">
      <w:pPr>
        <w:pStyle w:val="Heading1"/>
        <w:rPr/>
      </w:pPr>
      <w:bookmarkStart w:colFirst="0" w:colLast="0" w:name="_b3ii4erlvvcg" w:id="7"/>
      <w:bookmarkEnd w:id="7"/>
      <w:commentRangeStart w:id="10"/>
      <w:r w:rsidDel="00000000" w:rsidR="00000000" w:rsidRPr="00000000">
        <w:rPr>
          <w:rtl w:val="0"/>
        </w:rPr>
        <w:t xml:space="preserve">Bibliography</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pStyle w:val="Heading1"/>
        <w:rPr/>
      </w:pPr>
      <w:bookmarkStart w:colFirst="0" w:colLast="0" w:name="_hlj62yjchnrc" w:id="8"/>
      <w:bookmarkEnd w:id="8"/>
      <w:commentRangeStart w:id="11"/>
      <w:r w:rsidDel="00000000" w:rsidR="00000000" w:rsidRPr="00000000">
        <w:rPr>
          <w:rtl w:val="0"/>
        </w:rPr>
        <w:t xml:space="preserve">Acknowledgement</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tl w:val="0"/>
        </w:rPr>
      </w:r>
    </w:p>
    <w:p w:rsidR="00000000" w:rsidDel="00000000" w:rsidP="00000000" w:rsidRDefault="00000000" w:rsidRPr="00000000" w14:paraId="00000020">
      <w:pPr>
        <w:spacing w:after="0" w:lineRule="auto"/>
        <w:rPr>
          <w:rFonts w:ascii="Open Sans" w:cs="Open Sans" w:eastAsia="Open Sans" w:hAnsi="Open Sans"/>
        </w:rPr>
      </w:pPr>
      <w:r w:rsidDel="00000000" w:rsidR="00000000" w:rsidRPr="00000000">
        <w:rPr>
          <w:rtl w:val="0"/>
        </w:rPr>
      </w:r>
    </w:p>
    <w:sectPr>
      <w:footerReference r:id="rId7" w:type="default"/>
      <w:pgSz w:h="16838" w:w="11906" w:orient="portrait"/>
      <w:pgMar w:bottom="1700.7874015748032" w:top="1700.7874015748032" w:left="1700.7874015748032" w:right="1700.7874015748032"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isyiyah Center" w:id="9" w:date="2026-04-23T07:03:55Z">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conclusion returns to the research question and synthesizes the main insights of the article. It highlights the scholarly contribution and clarifies its broader implications for Aisyiyah studies and related academic fields. Rather than repeating earlier sections, the conclusion offers a reflective synthesis and may indicate directions for future research.</w:t>
      </w:r>
    </w:p>
  </w:comment>
  <w:comment w:author="Aisyiyah Center" w:id="0" w:date="2026-04-23T06:53:21Z">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title should be concise, conceptually precise, and analytically grounded. It must reflect the central argument, theoretical contribution, or critical perspective of the paper rather than merely describing the topic. A strong title signals the paper’s intellectual positioning and its relevance within Aisyiyah studies and related interdisciplinary fields such as Islamic studies, gender studies, sociology of religion, anthropology, health studies, and digital studies.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Authors are encouraged to formulate titles that are both clear and engaging, avoiding vague or overly generic phrasing. The use of key concepts, theoretical lenses, or contextual specificity is highly recommended to strengthen the scholarly character of the title.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Titles may include a subtitle (separated by a colon) to provide further clarification or contextual detail.</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Maximum length: 50 words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Preferred length: 10–16 words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Avoid unnecessary technical jargon or overly long descriptive phrases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readability while maintaining analytical depth</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well-crafted title should not only inform but also position the paper within broader academic and societal conversations relevant to ICAS 2026.</w:t>
      </w:r>
    </w:p>
  </w:comment>
  <w:comment w:author="Aisyiyah Center" w:id="8" w:date="2026-04-23T07:02:31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discussion interprets the findings in relation to the theoretical framework and broader scholarly conversations. It explains the significance of the results and clarifies how they refine, challenge, or extend existing knowledge. A distinctive element of the Journal of Aisyiyah Studies is the articulation of an Aisyiyah perspective in an academic sense. This involves analyzing Aisyiyah as an epistemic and social actor, examining institutional reasoning and transformation as forms of evolving ijtihad, and situating the organization within broader discourses on Muslim women’s agency, leadership, and social reform. The discussion should remain critical and constructive, avoiding both uncritical celebration and reductive critique.</w:t>
      </w:r>
    </w:p>
  </w:comment>
  <w:comment w:author="Aisyiyah Center" w:id="5" w:date="2026-04-23T06:59:47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section outlines the analytical perspective that informs the study and defines the key concepts used throughout the article. Authors are encouraged to engage critically with contemporary scholarship and, when relevant, to place social theory in dialogue with Islamic intellectual traditions. The framework should clearly demonstrate how the chosen concepts guide interpretation and analysis. The writing should remain analytical and reflective, avoiding normative or sermon-like language while acknowledging the intellectual richness of Islamic epistemologies.</w:t>
      </w:r>
    </w:p>
  </w:comment>
  <w:comment w:author="Aisyiyah Center" w:id="6" w:date="2026-04-23T07:00:43Z">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methodology section provides a transparent account of how the research was conducted. It explains the research design, the nature and sources of data, and the procedures used for data collection and analysis. If applicable, it may also discuss ethical considerations and researcher positionality. The explanation should be detailed enough for readers to understand how conclusions are derived and how evidence supports the argument. Methodological rigor and clarity are central to the journal’s academic standards.</w:t>
      </w:r>
    </w:p>
  </w:comment>
  <w:comment w:author="Aisyiyah Center" w:id="3" w:date="2026-04-23T06:56:39Z">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short list of keywords should follow the abstract to enhance discoverability, indexing, and thematic clarity. Keywords are expected to reflect the core concepts, theoretical approaches, and contextual focus of the paper.</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Authors are encouraged to select terms that not only represent the content accurately but also position the paper within broader academic conversations relevant to ICAS 2026, including Aisyiyah studies and related interdisciplinary fields.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Number of keywords: 4–6 terms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specific and meaningful terms, not overly general words (e.g., avoid “Islam,” “women” unless specified)</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Combine conceptual (e.g., “eco-theology,” “digital da‘wah”) and contextual terms (e.g., “Aisyiyah,” “Indonesia,” “Global South”)</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Avoid repeating words already used in the title unless necessary</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standardized academic spelling and consistent terminology</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Separate keywords with semicolons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Well-chosen keywords improve the visibility of the paper in academic databases and help readers quickly identify its focus and relevance.</w:t>
      </w:r>
    </w:p>
  </w:comment>
  <w:comment w:author="Aisyiyah Center" w:id="7" w:date="2026-04-23T07:02:04Z">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findings section presents the main results of the study in a structured and coherent manner. Claims must be grounded in evidence, whether empirical data, textual analysis, archival material, or conceptual reasoning. Subheadings may be used to organize themes, but the section should maintain narrative flow. The focus here is on presenting what the research reveals before moving to broader interpretation. The writing should be clear, systematic, and analytically grounded.</w:t>
      </w:r>
    </w:p>
  </w:comment>
  <w:comment w:author="Aisyiyah Center" w:id="4" w:date="2026-04-23T06:57:18Z">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introduction is crafted as a flowing narrative that situates the article within ongoing scholarly debates. It explains why the issue under discussion is significant, identifies limitations or gaps in existing literature, and articulates the research question guiding the study. The introduction also establishes the contextual setting, including the relevance of Aisyiyah as a social, intellectual, or institutional actor. It concludes by clarifying the contribution of the article, whether theoretical, empirical, methodological, or conceptual. The tone remains analytical and academically rigorous rather than promotional.</w:t>
      </w:r>
    </w:p>
  </w:comment>
  <w:comment w:author="Aisyiyah Center" w:id="10" w:date="2026-04-23T07:04:26Z">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bibliography follows APA 7th edition citation style. It should reflect engagement with relevant and high-quality scholarship, including peer-reviewed journal articles and significant theoretical works. References should demonstrate awareness of both global academic debates and scholarship related to Indonesian and Muslim contexts. DOI information should be included where available. The reference list serves as an intellectual map of the article’s scholarly grounding and should be carefully curated and accurately formatted.</w:t>
      </w:r>
    </w:p>
  </w:comment>
  <w:comment w:author="Aisyiyah Center" w:id="1" w:date="2026-04-23T06:54:15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author section includes the full name of each contributor, their institutional affiliation, and country. The corresponding author’s email address must be clearly indicated. Additional academic identifiers such as ORCID may be included when available. The order of authorship should reflect scholarly contribution and must be agreed upon by all contributors prior to submission. The presentation of author information should be clear, professional, and consistent with academic standards.</w:t>
      </w:r>
    </w:p>
  </w:comment>
  <w:comment w:author="Aisyiyah Center" w:id="11" w:date="2026-04-23T07:04:53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acknowledgement section provides space for authors to recognize funding support, institutional assistance, research collaborators, field participants, or other contributions that do not meet authorship criteria. This section should be concise and professional in tone. If the research was supported by a grant, the funding body and grant number should be clearly stated. Authors may also acknowledge ethical approvals, research assistants, or community partners whose contributions were significant to the completion of the study.</w:t>
      </w:r>
    </w:p>
  </w:comment>
  <w:comment w:author="Aisyiyah Center" w:id="2" w:date="2026-04-23T06:54:57Z">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abstract is written in English and provides a concise yet comprehensive overview of the article. It establishes the context of the study, identifies the scholarly gap, and states the research question or objective. It briefly explains the methodological approach, summarizes the main findings, and clarifies the article’s contribution to broader academic discussions. The abstract is written as a single coherent paragraph without citations.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ind w:left="-708.6614173228347" w:right="-976.062992125984" w:firstLine="0"/>
      <w:rPr>
        <w:b w:val="1"/>
        <w:bCs w:val="1"/>
        <w:sz w:val="16"/>
        <w:szCs w:val="16"/>
      </w:rPr>
    </w:pPr>
    <w:r w:rsidDel="00000000" w:rsidR="00000000" w:rsidRPr="00000000">
      <w:rPr>
        <w:sz w:val="16"/>
        <w:szCs w:val="16"/>
        <w:rtl w:val="0"/>
      </w:rPr>
      <w:t xml:space="preserve">International Conference on Aisyiyah Studies (ICAS) 2026</w:t>
      <w:tab/>
      <w:tab/>
      <w:tab/>
      <w:tab/>
      <w:tab/>
      <w:tab/>
      <w:tab/>
      <w:tab/>
      <w:tab/>
    </w:r>
    <w:r w:rsidDel="00000000" w:rsidR="00000000" w:rsidRPr="00000000">
      <w:rPr>
        <w:b w:val="1"/>
        <w:bCs w:val="1"/>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in"/>
      </w:rPr>
    </w:rPrDefault>
    <w:pPrDefault>
      <w:pPr>
        <w:shd w:fill="ffffff" w:val="clea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b w:val="1"/>
      <w:bCs w:val="1"/>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